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2"/>
        <w:gridCol w:w="1243"/>
        <w:gridCol w:w="6839"/>
      </w:tblGrid>
      <w:tr w:rsidR="006D4182" w:rsidTr="006D4182">
        <w:tc>
          <w:tcPr>
            <w:tcW w:w="2625" w:type="dxa"/>
            <w:gridSpan w:val="2"/>
            <w:shd w:val="clear" w:color="auto" w:fill="BFBFBF" w:themeFill="background1" w:themeFillShade="BF"/>
          </w:tcPr>
          <w:p w:rsidR="006D4182" w:rsidRPr="00C263A8" w:rsidRDefault="006D4182">
            <w:pPr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Science</w:t>
            </w:r>
            <w:r w:rsidRPr="00C263A8">
              <w:rPr>
                <w:rFonts w:ascii="Verdana" w:hAnsi="Verdana"/>
                <w:b/>
                <w:sz w:val="32"/>
              </w:rPr>
              <w:t xml:space="preserve"> </w:t>
            </w:r>
          </w:p>
        </w:tc>
        <w:tc>
          <w:tcPr>
            <w:tcW w:w="6839" w:type="dxa"/>
            <w:shd w:val="clear" w:color="auto" w:fill="FFC000"/>
            <w:vAlign w:val="center"/>
          </w:tcPr>
          <w:p w:rsidR="006D4182" w:rsidRDefault="006D4182">
            <w:pPr>
              <w:rPr>
                <w:rStyle w:val="Strong"/>
                <w:rFonts w:ascii="Verdana" w:hAnsi="Verdana"/>
                <w:color w:val="666666"/>
              </w:rPr>
            </w:pPr>
            <w:r w:rsidRPr="00C263A8">
              <w:rPr>
                <w:rFonts w:ascii="Verdana" w:hAnsi="Verdana"/>
                <w:b/>
                <w:sz w:val="32"/>
              </w:rPr>
              <w:t>Cycle A</w:t>
            </w: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6839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Style w:val="Strong"/>
                <w:rFonts w:ascii="Verdana" w:hAnsi="Verdana"/>
                <w:color w:val="666666"/>
                <w:sz w:val="16"/>
                <w:szCs w:val="16"/>
              </w:rPr>
              <w:t>Milestone 2</w:t>
            </w:r>
          </w:p>
        </w:tc>
      </w:tr>
      <w:tr w:rsidR="006D4182" w:rsidTr="006D4182">
        <w:tc>
          <w:tcPr>
            <w:tcW w:w="1382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To work scientifically</w:t>
            </w: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Ask relevant questions.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Set up simple practical enquiries and comparative and fair tests.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Make accurate measurements using standard units, using a range of equipment, e.g. thermometers and data loggers.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Gather, record, classify and present data in a variety of ways to help in answering questions.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Record findings using simple scientific language, drawings, labelled diagrams, bar charts and tables.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Report on findings from enquiries, including oral and written explanations, displays or presentations of results and conclusions.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Use results to draw simple conclusions and suggest improvements, new questions and predictions for setting up further tests.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differences, similarities or changes related to simple, scientific ideas and processes.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Use straightforward, scientific evidence to answer questions or to support their findings.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Biology</w:t>
            </w: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plants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and describe the functions of different parts of flowering plants: roots, stem, leaves and flowers.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Explore the requirements of plants for </w:t>
            </w:r>
            <w:proofErr w:type="gramStart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life and growth (air, light, water, nutrients from soil, and room to grow) and how they vary from plant to plant</w:t>
            </w:r>
            <w:proofErr w:type="gramEnd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Investigate the way in which water </w:t>
            </w:r>
            <w:proofErr w:type="gramStart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is transported</w:t>
            </w:r>
            <w:proofErr w:type="gramEnd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 within plants.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Explore the role of flowers in the life cycle of flowering plants, including pollination, seed formation and seed dispersal.</w:t>
            </w: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animals and humans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Identify that animals, including humans, need the right types and amounts of </w:t>
            </w:r>
            <w:proofErr w:type="gramStart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nutrition, that</w:t>
            </w:r>
            <w:proofErr w:type="gramEnd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 they cannot make their own food and they get nutrition from what they eat.</w:t>
            </w:r>
          </w:p>
          <w:p w:rsidR="006D4182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Describe the ways in which nutrients and water are transported within animals, including humans.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Describe the simple functions of the basic parts of the digestive system in humans.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the different types of teeth in humans and their simple functions.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living things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evolution and inheritance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lastRenderedPageBreak/>
              <w:t>Chemistry</w:t>
            </w: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materials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Compare and group together different kinds of rocks </w:t>
            </w:r>
            <w:proofErr w:type="gramStart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on the basis of</w:t>
            </w:r>
            <w:proofErr w:type="gramEnd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 their simple, physical properties.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Relate the simple physical properties of some rocks to their formation (igneous or sedimentary).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Describe in simple terms how fossils are formed when things that have lived are trapped within sedimentary rock.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Physics</w:t>
            </w: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movement, forces and magnets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Observe how magnets attract or repel each other and attract some materials and not others. 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Compare and group together a variety of everyday materials </w:t>
            </w:r>
            <w:proofErr w:type="gramStart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on the basis of</w:t>
            </w:r>
            <w:proofErr w:type="gramEnd"/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 whether they are attracted to a magnet and identify some magnetic materials.</w:t>
            </w: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light and seeing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rPr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sound and hearing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electrical circuits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2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43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the Earth’s movement in space </w:t>
            </w:r>
          </w:p>
        </w:tc>
        <w:tc>
          <w:tcPr>
            <w:tcW w:w="6839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Describe the movement of the Earth relative to the Sun in the solar system.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Describe the movement of the Moon relative to the Earth.</w:t>
            </w:r>
          </w:p>
        </w:tc>
      </w:tr>
    </w:tbl>
    <w:p w:rsidR="00C263A8" w:rsidRDefault="00C263A8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5"/>
        <w:gridCol w:w="1276"/>
        <w:gridCol w:w="6803"/>
      </w:tblGrid>
      <w:tr w:rsidR="006D4182" w:rsidTr="006D4182">
        <w:tc>
          <w:tcPr>
            <w:tcW w:w="2661" w:type="dxa"/>
            <w:gridSpan w:val="2"/>
            <w:shd w:val="clear" w:color="auto" w:fill="BFBFBF" w:themeFill="background1" w:themeFillShade="BF"/>
          </w:tcPr>
          <w:p w:rsidR="006D4182" w:rsidRPr="00C263A8" w:rsidRDefault="006D4182" w:rsidP="001B24A3">
            <w:pPr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Science</w:t>
            </w:r>
            <w:r w:rsidRPr="00C263A8">
              <w:rPr>
                <w:rFonts w:ascii="Verdana" w:hAnsi="Verdana"/>
                <w:b/>
                <w:sz w:val="32"/>
              </w:rPr>
              <w:t xml:space="preserve"> </w:t>
            </w:r>
          </w:p>
        </w:tc>
        <w:tc>
          <w:tcPr>
            <w:tcW w:w="6803" w:type="dxa"/>
            <w:shd w:val="clear" w:color="auto" w:fill="92D050"/>
            <w:vAlign w:val="center"/>
          </w:tcPr>
          <w:p w:rsidR="006D4182" w:rsidRDefault="006D4182" w:rsidP="001B24A3">
            <w:pPr>
              <w:rPr>
                <w:rStyle w:val="Strong"/>
                <w:rFonts w:ascii="Verdana" w:hAnsi="Verdana"/>
                <w:color w:val="666666"/>
              </w:rPr>
            </w:pPr>
            <w:r>
              <w:rPr>
                <w:rFonts w:ascii="Verdana" w:hAnsi="Verdana"/>
                <w:b/>
                <w:sz w:val="32"/>
              </w:rPr>
              <w:t>Cycle B</w:t>
            </w: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8148F6" w:rsidRDefault="006D4182" w:rsidP="006D4182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D4182" w:rsidRPr="008148F6" w:rsidRDefault="006D4182" w:rsidP="006D4182">
            <w:pPr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6803" w:type="dxa"/>
            <w:vAlign w:val="center"/>
          </w:tcPr>
          <w:p w:rsidR="006D4182" w:rsidRPr="008148F6" w:rsidRDefault="006D4182" w:rsidP="006D4182">
            <w:pPr>
              <w:rPr>
                <w:rFonts w:ascii="Verdana" w:hAnsi="Verdana"/>
                <w:color w:val="666666"/>
                <w:sz w:val="18"/>
                <w:szCs w:val="18"/>
              </w:rPr>
            </w:pPr>
            <w:r w:rsidRPr="008148F6">
              <w:rPr>
                <w:rStyle w:val="Strong"/>
                <w:rFonts w:ascii="Verdana" w:hAnsi="Verdana"/>
                <w:color w:val="666666"/>
                <w:sz w:val="18"/>
                <w:szCs w:val="18"/>
              </w:rPr>
              <w:t>Milestone 2</w:t>
            </w:r>
          </w:p>
        </w:tc>
      </w:tr>
      <w:tr w:rsidR="006D4182" w:rsidTr="006D4182">
        <w:tc>
          <w:tcPr>
            <w:tcW w:w="1385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To work scientifically</w:t>
            </w: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Ask relevant questions.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Set up simple practical enquiries and comparative and fair tests.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Make accurate measurements using standard units, using a range of equipment, e.g. thermometers and data loggers.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Gather, record, classify and present data in a variety of ways to help in answering questions.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Record findings using simple scientific language, drawings, labelled diagrams, bar charts and tables.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Report on findings from enquiries, including oral and written explanations, displays or presentations of results and conclusions.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Use results to draw simple conclusions and suggest improvements, new questions and predictions for setting up further tests.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differences, similarities or changes related to simple, scientific ideas and processes.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Use straightforward, scientific evidence to answer questions or to support their findings.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lastRenderedPageBreak/>
              <w:t>Biology</w:t>
            </w: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plants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animals and humans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that humans and some animals have skeletons and muscles for support, protection and movement.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living things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 xml:space="preserve">• Identify and name a variety of living things (plants and animals) in the local and wider environment, using classification keys to assign them to groups. 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Give reasons for classifying plants and animals based on specific characteristics.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Recognise that environments are constantly changing and that this can sometimes pose dangers to specific habitats.</w:t>
            </w: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evolution and inheritance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how plants and animals, including humans, resemble their parents in many features.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Recognise that living things have changed over time and that fossils provide information about living things that inhabited the Earth millions of years ago.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how animals and plants are suited to and adapt to their environment in different ways.</w:t>
            </w:r>
          </w:p>
        </w:tc>
      </w:tr>
      <w:tr w:rsidR="006D4182" w:rsidTr="006D4182">
        <w:tc>
          <w:tcPr>
            <w:tcW w:w="1385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Chemistry</w:t>
            </w: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materials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Compare and group materials together, according to whether they are solids, liquids or gases.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Observe that some materials change state when they are heated or cooled, and measure the temperature at which this happens in degrees Celsius (°C), building on their teaching in mathematics.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the part played by evaporation and condensation in the water cycle and associate the rate of evaporation with temperature.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>Physics</w:t>
            </w: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movement, forces and magnets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light and seeing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investigate sound and hearing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Identify how sounds are made, associating some of them with something vibrating.</w:t>
            </w:r>
          </w:p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color w:val="666666"/>
                <w:sz w:val="16"/>
                <w:szCs w:val="16"/>
              </w:rPr>
              <w:t>• Recognise that sounds get fainter as the distance from the sound’s source increases.</w:t>
            </w: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electrical circuits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6D4182" w:rsidTr="006D4182">
        <w:tc>
          <w:tcPr>
            <w:tcW w:w="1385" w:type="dxa"/>
            <w:vAlign w:val="center"/>
          </w:tcPr>
          <w:p w:rsidR="006D4182" w:rsidRPr="00097A06" w:rsidRDefault="006D4182" w:rsidP="006D4182">
            <w:pPr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182" w:rsidRPr="00097A06" w:rsidRDefault="006D4182" w:rsidP="006D4182">
            <w:pPr>
              <w:rPr>
                <w:rFonts w:ascii="Verdana" w:hAnsi="Verdana"/>
                <w:b/>
                <w:color w:val="666666"/>
                <w:sz w:val="16"/>
                <w:szCs w:val="16"/>
              </w:rPr>
            </w:pPr>
            <w:r w:rsidRPr="00097A06">
              <w:rPr>
                <w:rFonts w:ascii="Verdana" w:hAnsi="Verdana"/>
                <w:b/>
                <w:color w:val="666666"/>
                <w:sz w:val="16"/>
                <w:szCs w:val="16"/>
              </w:rPr>
              <w:t xml:space="preserve">To understand the Earth’s movement in space </w:t>
            </w:r>
          </w:p>
        </w:tc>
        <w:tc>
          <w:tcPr>
            <w:tcW w:w="6803" w:type="dxa"/>
          </w:tcPr>
          <w:p w:rsidR="006D4182" w:rsidRPr="00097A06" w:rsidRDefault="006D4182" w:rsidP="006D4182">
            <w:pPr>
              <w:pStyle w:val="NormalWeb"/>
              <w:ind w:left="360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</w:tbl>
    <w:p w:rsidR="00583857" w:rsidRDefault="00583857"/>
    <w:p w:rsidR="00E46463" w:rsidRPr="00C263A8" w:rsidRDefault="00E46463" w:rsidP="00C263A8">
      <w:pPr>
        <w:rPr>
          <w:sz w:val="18"/>
          <w:szCs w:val="18"/>
        </w:rPr>
      </w:pPr>
      <w:bookmarkStart w:id="0" w:name="_GoBack"/>
      <w:bookmarkEnd w:id="0"/>
    </w:p>
    <w:sectPr w:rsidR="00E46463" w:rsidRPr="00C263A8" w:rsidSect="006D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1E42"/>
    <w:multiLevelType w:val="hybridMultilevel"/>
    <w:tmpl w:val="FEB86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8"/>
    <w:rsid w:val="00073643"/>
    <w:rsid w:val="00097A06"/>
    <w:rsid w:val="000E1ECF"/>
    <w:rsid w:val="00101C1F"/>
    <w:rsid w:val="004371B4"/>
    <w:rsid w:val="00583857"/>
    <w:rsid w:val="0065043A"/>
    <w:rsid w:val="006D4182"/>
    <w:rsid w:val="008148F6"/>
    <w:rsid w:val="00C263A8"/>
    <w:rsid w:val="00E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2BC9"/>
  <w15:docId w15:val="{81F40C07-FFAB-4050-AC9C-0B6AA0DE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63A8"/>
    <w:rPr>
      <w:b/>
      <w:bCs/>
    </w:rPr>
  </w:style>
  <w:style w:type="paragraph" w:styleId="NormalWeb">
    <w:name w:val="Normal (Web)"/>
    <w:basedOn w:val="Normal"/>
    <w:uiPriority w:val="99"/>
    <w:unhideWhenUsed/>
    <w:rsid w:val="00C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Briggs</dc:creator>
  <cp:lastModifiedBy>Lisa Perry</cp:lastModifiedBy>
  <cp:revision>2</cp:revision>
  <cp:lastPrinted>2017-07-20T07:51:00Z</cp:lastPrinted>
  <dcterms:created xsi:type="dcterms:W3CDTF">2017-11-06T21:07:00Z</dcterms:created>
  <dcterms:modified xsi:type="dcterms:W3CDTF">2017-11-06T21:07:00Z</dcterms:modified>
</cp:coreProperties>
</file>